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0EA8E7CB" w:rsidR="009B4C9D" w:rsidRPr="009B4C9D" w:rsidRDefault="007F39E1" w:rsidP="00AB50D8">
      <w:pPr>
        <w:rPr>
          <w:b/>
          <w:bCs/>
          <w:sz w:val="22"/>
        </w:rPr>
      </w:pPr>
      <w:r>
        <w:rPr>
          <w:b/>
          <w:bCs/>
          <w:sz w:val="22"/>
        </w:rPr>
        <w:t xml:space="preserve">Finalista </w:t>
      </w:r>
      <w:r w:rsidR="005B6B14">
        <w:rPr>
          <w:b/>
          <w:bCs/>
          <w:sz w:val="22"/>
        </w:rPr>
        <w:t>Interiorism</w:t>
      </w:r>
      <w:r w:rsidR="00716215">
        <w:rPr>
          <w:b/>
          <w:bCs/>
          <w:sz w:val="22"/>
        </w:rPr>
        <w:t>o</w:t>
      </w:r>
    </w:p>
    <w:p w14:paraId="6234750F" w14:textId="178E7F1F" w:rsidR="004A651D" w:rsidRPr="004A651D" w:rsidRDefault="00716215" w:rsidP="004A651D">
      <w:pPr>
        <w:rPr>
          <w:b/>
          <w:bCs/>
          <w:sz w:val="22"/>
        </w:rPr>
      </w:pPr>
      <w:r>
        <w:rPr>
          <w:b/>
          <w:bCs/>
          <w:sz w:val="22"/>
        </w:rPr>
        <w:t>OKI</w:t>
      </w:r>
      <w:r w:rsidR="004A651D" w:rsidRPr="004A651D">
        <w:rPr>
          <w:b/>
          <w:bCs/>
          <w:sz w:val="22"/>
        </w:rPr>
        <w:t xml:space="preserve"> </w:t>
      </w:r>
    </w:p>
    <w:p w14:paraId="6F5FAAA1" w14:textId="277E4993" w:rsidR="004A651D" w:rsidRPr="00281E4A" w:rsidRDefault="00716215" w:rsidP="004A651D">
      <w:pPr>
        <w:rPr>
          <w:sz w:val="22"/>
        </w:rPr>
      </w:pPr>
      <w:r>
        <w:rPr>
          <w:sz w:val="22"/>
        </w:rPr>
        <w:t>Madrid</w:t>
      </w:r>
      <w:r w:rsidR="004A651D" w:rsidRPr="00281E4A">
        <w:rPr>
          <w:sz w:val="22"/>
        </w:rPr>
        <w:t xml:space="preserve"> </w:t>
      </w:r>
    </w:p>
    <w:p w14:paraId="2700F8E9" w14:textId="7445FAE4" w:rsidR="004A651D" w:rsidRPr="004A651D" w:rsidRDefault="00716215" w:rsidP="004A651D">
      <w:pPr>
        <w:rPr>
          <w:b/>
          <w:bCs/>
          <w:sz w:val="22"/>
        </w:rPr>
      </w:pPr>
      <w:r>
        <w:rPr>
          <w:b/>
          <w:bCs/>
          <w:sz w:val="22"/>
        </w:rPr>
        <w:t xml:space="preserve">ELII (Oficina de Arquitectura) – Uriel </w:t>
      </w:r>
      <w:proofErr w:type="spellStart"/>
      <w:r>
        <w:rPr>
          <w:b/>
          <w:bCs/>
          <w:sz w:val="22"/>
        </w:rPr>
        <w:t>Fogué</w:t>
      </w:r>
      <w:proofErr w:type="spellEnd"/>
      <w:r>
        <w:rPr>
          <w:b/>
          <w:bCs/>
          <w:sz w:val="22"/>
        </w:rPr>
        <w:t>, Eva Gil y Carlos Palacios</w:t>
      </w:r>
      <w:r w:rsidR="004A651D" w:rsidRPr="004A651D">
        <w:rPr>
          <w:b/>
          <w:bCs/>
          <w:sz w:val="22"/>
        </w:rPr>
        <w:t xml:space="preserve"> </w:t>
      </w:r>
    </w:p>
    <w:p w14:paraId="008F2EAA" w14:textId="702F8CF6" w:rsidR="00D25831" w:rsidRDefault="009B4C9D" w:rsidP="002F4C02">
      <w:pPr>
        <w:rPr>
          <w:sz w:val="22"/>
        </w:rPr>
      </w:pPr>
      <w:r w:rsidRPr="009B4C9D">
        <w:rPr>
          <w:sz w:val="22"/>
        </w:rPr>
        <w:t xml:space="preserve">Fotografía: </w:t>
      </w:r>
      <w:r w:rsidR="00716215">
        <w:rPr>
          <w:sz w:val="22"/>
        </w:rPr>
        <w:t>Imagen Subliminal (Miguel de Guzmán y Rocío Romero)</w:t>
      </w:r>
    </w:p>
    <w:p w14:paraId="6B3FBCCA" w14:textId="073A824E" w:rsidR="00716215" w:rsidRDefault="00716215" w:rsidP="002F4C02">
      <w:pPr>
        <w:rPr>
          <w:sz w:val="22"/>
        </w:rPr>
      </w:pPr>
    </w:p>
    <w:p w14:paraId="46B45CB2" w14:textId="77777777" w:rsidR="00716215" w:rsidRDefault="00716215" w:rsidP="00716215">
      <w:pPr>
        <w:rPr>
          <w:sz w:val="22"/>
        </w:rPr>
      </w:pPr>
      <w:r w:rsidRPr="00716215">
        <w:rPr>
          <w:sz w:val="22"/>
        </w:rPr>
        <w:t>El proyecto comprende la reforma completa de una vivienda situada en un barrio de la periferia suroeste de Madrid, que en origen respondía a un esquema tipológico genérico basado en criterios domésticos estandarizados en los modelos de vivienda protegida de mitad de siglo XX que proliferaron en las periferias de las grandes urbes, y que ya no responden eficazmente a las nuevas formas de vida doméstica y del trabajo, ni su calidad constructiva puede hacer frente a los retos de la sostenibilidad y ecología actuales, acometiéndose igualmente la renovación completa de sus instalaciones, acabados y carpinterías exteriores preexistentes.</w:t>
      </w:r>
    </w:p>
    <w:p w14:paraId="3C4237AB" w14:textId="71D903B6" w:rsidR="00716215" w:rsidRPr="00716215" w:rsidRDefault="00716215" w:rsidP="00716215">
      <w:pPr>
        <w:rPr>
          <w:sz w:val="22"/>
        </w:rPr>
      </w:pPr>
      <w:r w:rsidRPr="00716215">
        <w:rPr>
          <w:sz w:val="22"/>
        </w:rPr>
        <w:t xml:space="preserve">La nueva configuración de la vivienda se estructura a partir de un espacio central abierto, de geometría semicircular, sobre el que orbitan el resto de </w:t>
      </w:r>
      <w:proofErr w:type="gramStart"/>
      <w:r w:rsidRPr="00716215">
        <w:rPr>
          <w:sz w:val="22"/>
        </w:rPr>
        <w:t>estancias</w:t>
      </w:r>
      <w:proofErr w:type="gramEnd"/>
      <w:r w:rsidRPr="00716215">
        <w:rPr>
          <w:sz w:val="22"/>
        </w:rPr>
        <w:t xml:space="preserve"> de la casa, disponiendo, así, un esquema flexible que favorece las relaciones cruzadas y promueve la interacción continua, reduciendo las circulaciones e incrementando la potencia del espacio y sus múltiples usos. </w:t>
      </w:r>
    </w:p>
    <w:p w14:paraId="1B40AD3C" w14:textId="6CE8BCF6" w:rsidR="00716215" w:rsidRPr="00716215" w:rsidRDefault="00716215" w:rsidP="00716215">
      <w:pPr>
        <w:rPr>
          <w:sz w:val="22"/>
        </w:rPr>
      </w:pPr>
      <w:r w:rsidRPr="00716215">
        <w:rPr>
          <w:sz w:val="22"/>
        </w:rPr>
        <w:t xml:space="preserve">Es en esta idea de espacio fluido donde el uso de la cerámica esmaltada, en diferentes estancias, contribuye a que la materialidad de la vivienda se transforme constantemente en relación a la luz que recibe cada paramento y a los movimientos de los habitantes en el uso diario de los espacios, provocando, en combinación con el acabado del paramento curvo, realizado mediante unos elementos verticales de madera y fondo de color en bajo relieve, un efecto dinámico de vibración y profundidad constante a través de este juego óptico y cromático. </w:t>
      </w:r>
    </w:p>
    <w:p w14:paraId="590E5ABC" w14:textId="2270A064" w:rsidR="00716215" w:rsidRPr="00716215" w:rsidRDefault="00716215" w:rsidP="00716215">
      <w:pPr>
        <w:rPr>
          <w:sz w:val="22"/>
        </w:rPr>
      </w:pPr>
      <w:r w:rsidRPr="00716215">
        <w:rPr>
          <w:sz w:val="22"/>
        </w:rPr>
        <w:t>La cerámica utilizada de formato 5x30, colocada en paredes en vertical y en suelos en continuidad con las juntas verticales, en dos colores</w:t>
      </w:r>
      <w:r>
        <w:rPr>
          <w:sz w:val="22"/>
        </w:rPr>
        <w:t xml:space="preserve">: azul, </w:t>
      </w:r>
      <w:r w:rsidRPr="00716215">
        <w:rPr>
          <w:sz w:val="22"/>
        </w:rPr>
        <w:t>en el caso del baño, y</w:t>
      </w:r>
      <w:r>
        <w:rPr>
          <w:sz w:val="22"/>
        </w:rPr>
        <w:t xml:space="preserve"> rosa,</w:t>
      </w:r>
      <w:r w:rsidRPr="00716215">
        <w:rPr>
          <w:sz w:val="22"/>
        </w:rPr>
        <w:t xml:space="preserve"> en cocina y lavandería-tendedero. En ambos casos se introducen espejos en algunos elementos que multiplican los efectos de la luz sobre la cerámica y contribuyen a la sensación de amplitud y ausencia de límites claros en relación con el resto de </w:t>
      </w:r>
      <w:proofErr w:type="gramStart"/>
      <w:r w:rsidRPr="00716215">
        <w:rPr>
          <w:sz w:val="22"/>
        </w:rPr>
        <w:t>estancias</w:t>
      </w:r>
      <w:proofErr w:type="gramEnd"/>
      <w:r w:rsidRPr="00716215">
        <w:rPr>
          <w:sz w:val="22"/>
        </w:rPr>
        <w:t xml:space="preserve">. La </w:t>
      </w:r>
      <w:proofErr w:type="spellStart"/>
      <w:r w:rsidRPr="00716215">
        <w:rPr>
          <w:sz w:val="22"/>
        </w:rPr>
        <w:t>borada</w:t>
      </w:r>
      <w:proofErr w:type="spellEnd"/>
      <w:r w:rsidRPr="00716215">
        <w:rPr>
          <w:sz w:val="22"/>
        </w:rPr>
        <w:t xml:space="preserve"> utilizada en las juntas </w:t>
      </w:r>
      <w:r>
        <w:rPr>
          <w:sz w:val="22"/>
        </w:rPr>
        <w:t>es de</w:t>
      </w:r>
      <w:r w:rsidRPr="00716215">
        <w:rPr>
          <w:sz w:val="22"/>
        </w:rPr>
        <w:t xml:space="preserve"> dos colores: </w:t>
      </w:r>
      <w:r>
        <w:rPr>
          <w:sz w:val="22"/>
        </w:rPr>
        <w:t xml:space="preserve">coral </w:t>
      </w:r>
      <w:r w:rsidRPr="00716215">
        <w:rPr>
          <w:sz w:val="22"/>
        </w:rPr>
        <w:t xml:space="preserve">en baño, y </w:t>
      </w:r>
      <w:r>
        <w:rPr>
          <w:sz w:val="22"/>
        </w:rPr>
        <w:t>a</w:t>
      </w:r>
      <w:r w:rsidRPr="00716215">
        <w:rPr>
          <w:sz w:val="22"/>
        </w:rPr>
        <w:t>zul</w:t>
      </w:r>
      <w:r>
        <w:rPr>
          <w:sz w:val="22"/>
        </w:rPr>
        <w:t xml:space="preserve"> e</w:t>
      </w:r>
      <w:r w:rsidRPr="00716215">
        <w:rPr>
          <w:sz w:val="22"/>
        </w:rPr>
        <w:t>n cocina.</w:t>
      </w:r>
      <w:bookmarkStart w:id="0" w:name="_GoBack"/>
      <w:bookmarkEnd w:id="0"/>
    </w:p>
    <w:sectPr w:rsidR="00716215" w:rsidRPr="00716215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863A" w14:textId="77777777" w:rsidR="000541A4" w:rsidRDefault="000541A4" w:rsidP="006F4CE8">
      <w:pPr>
        <w:spacing w:after="0" w:line="240" w:lineRule="auto"/>
      </w:pPr>
      <w:r>
        <w:separator/>
      </w:r>
    </w:p>
  </w:endnote>
  <w:endnote w:type="continuationSeparator" w:id="0">
    <w:p w14:paraId="24B88560" w14:textId="77777777" w:rsidR="000541A4" w:rsidRDefault="000541A4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912F1E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912F1E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</w:t>
          </w:r>
          <w:proofErr w:type="spellStart"/>
          <w:r>
            <w:t>Ginjols</w:t>
          </w:r>
          <w:proofErr w:type="spellEnd"/>
          <w:r>
            <w:t xml:space="preserve">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proofErr w:type="gramStart"/>
          <w:r w:rsidRPr="00B665F1">
            <w:rPr>
              <w:lang w:val="fr-FR"/>
            </w:rPr>
            <w:t>Fax:</w:t>
          </w:r>
          <w:proofErr w:type="gramEnd"/>
          <w:r w:rsidRPr="00B665F1">
            <w:rPr>
              <w:lang w:val="fr-FR"/>
            </w:rPr>
            <w:t xml:space="preserve">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4BD" w14:textId="77777777" w:rsidR="000541A4" w:rsidRDefault="000541A4" w:rsidP="006F4CE8">
      <w:pPr>
        <w:spacing w:after="0" w:line="240" w:lineRule="auto"/>
      </w:pPr>
      <w:r>
        <w:separator/>
      </w:r>
    </w:p>
  </w:footnote>
  <w:footnote w:type="continuationSeparator" w:id="0">
    <w:p w14:paraId="7FDB10C7" w14:textId="77777777" w:rsidR="000541A4" w:rsidRDefault="000541A4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668DA"/>
    <w:rsid w:val="00367E37"/>
    <w:rsid w:val="00370F3A"/>
    <w:rsid w:val="00371F27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852EA"/>
    <w:rsid w:val="005B6B14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16215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39E1"/>
    <w:rsid w:val="007F455C"/>
    <w:rsid w:val="00802CD7"/>
    <w:rsid w:val="00805823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B4C9D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B22FFC"/>
    <w:rsid w:val="00B404CD"/>
    <w:rsid w:val="00B56BF0"/>
    <w:rsid w:val="00B665F1"/>
    <w:rsid w:val="00B76E94"/>
    <w:rsid w:val="00B9126C"/>
    <w:rsid w:val="00BA18F2"/>
    <w:rsid w:val="00BC1488"/>
    <w:rsid w:val="00BE0EA1"/>
    <w:rsid w:val="00C115F1"/>
    <w:rsid w:val="00C268C4"/>
    <w:rsid w:val="00C40FB2"/>
    <w:rsid w:val="00C96204"/>
    <w:rsid w:val="00CA2171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E1D5-46CF-4380-AC97-898DE3B2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4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cp:lastPrinted>2019-11-20T16:25:00Z</cp:lastPrinted>
  <dcterms:created xsi:type="dcterms:W3CDTF">2019-11-27T12:18:00Z</dcterms:created>
  <dcterms:modified xsi:type="dcterms:W3CDTF">2019-11-27T12:22:00Z</dcterms:modified>
</cp:coreProperties>
</file>